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337</w:t>
      </w:r>
    </w:p>
    <w:p>
      <w:r>
        <w:t>Bundesgericht (BGE), 2001-03-05, FR</w:t>
      </w:r>
    </w:p>
    <w:p>
      <w:r>
        <w:rPr>
          <w:b/>
        </w:rPr>
        <w:t xml:space="preserve">Quelle: </w:t>
      </w:r>
      <w:r>
        <w:t>https://mcp.opencaselaw.ch/entscheid/bge_134 III 337</w:t>
      </w:r>
    </w:p>
    <w:p>
      <w:r>
        <w:t>FR: ATF 134 III 337</w:t>
      </w:r>
    </w:p>
    <w:p>
      <w:r>
        <w:t>IT: DTF 134 III 337</w:t>
      </w:r>
    </w:p>
    <w:p>
      <w:pPr>
        <w:pStyle w:val="Heading2"/>
      </w:pPr>
      <w:r>
        <w:t>Regeste</w:t>
      </w:r>
    </w:p>
    <w:p>
      <w:r>
        <w:t>Regeste Art. 134 ZGB, Art. 286 Abs. 2 ZGB; Abänderung eines Scheidungsurteils, Kinderunterhaltsbeitrag, Verbesserung der Verhältnisse des Unterhaltsgläubigers. Auch wenn die Verbesserung der wirtschaftlichen Verhältnisse des unterhaltsberechtigten Elternteils grundsätzlich in Form von besseren Lebensbedingungen den Kindern zugutekommen muss, soll die Unterhaltslast doch für alle Beteiligten ausgewogen bleiben und insbesondere für den unterhaltspflichtigen Elternteil, der in bescheidenen Verhältnissen lebt, nicht übertrieben schwer werden (E. 2).</w:t>
      </w:r>
    </w:p>
    <w:p>
      <w:pPr>
        <w:pStyle w:val="Heading2"/>
      </w:pPr>
      <w:r>
        <w:t>Erwägungen</w:t>
      </w:r>
    </w:p>
    <w:p>
      <w:r>
        <w:rPr>
          <w:b/>
        </w:rPr>
        <w:t>E. 2</w:t>
      </w:r>
    </w:p>
    <w:p>
      <w:r>
        <w:t>Autant qu'on puisse le comprendre à la lecture des conclusions et du contenu du recours, le recourant conteste la quotité des aliments BGE 134 III 337 S. 339 fixés en faveur de ses enfants. Il soutient que ceux-là doivent être arrêtés à 200 fr., au lieu de 500 fr., par mois pour chacun de ses fils. (...)</w:t>
      </w:r>
    </w:p>
    <w:p>
      <w:r>
        <w:rPr>
          <w:b/>
        </w:rPr>
        <w:t>E. 2.2</w:t>
      </w:r>
    </w:p>
    <w:p>
      <w:r>
        <w:t>Le recourant soutient ensuite qu'il faut tenir compte du fait que l'intimée dispose de revenus très élevés dont "tout porte à croire" qu'ils sont encore plus conséquents que ceux allégués. En effet, son ex-femme n'aurait jamais produit de certificats de salaire à l'appui de ses allégations, en violation de l' art. 280 al. 2 CC qui oblige les ex-conjoints à collaborer en vue de la fixation des contributions d'entretien. Invoquant une "appréciation" arbitraire des faits, le recourant reproche par ailleurs aux juges cantonaux de ne pas avoir exigé de l'intimée la production d'un certificat de salaire et de s'être contentés des déclarations de l'intéressée en séance de comparution personnelle. Il prétend enfin que l'autorité cantonale n'aurait pas pris en considération la différence importante qu'il existe entre les revenus des parties.</w:t>
      </w:r>
    </w:p>
    <w:p>
      <w:r>
        <w:rPr>
          <w:b/>
        </w:rPr>
        <w:t>E. 2.2.1</w:t>
      </w:r>
    </w:p>
    <w:p>
      <w:r>
        <w:t>Il n'y a pas lieu d'examiner les critiques portant sur le montant exact des revenus de l'intimée, le recours devant être admis pour un autre motif.</w:t>
      </w:r>
    </w:p>
    <w:p>
      <w:r>
        <w:rPr>
          <w:b/>
        </w:rPr>
        <w:t>E. 2.2.2</w:t>
      </w:r>
    </w:p>
    <w:p>
      <w:r>
        <w:t>Il n'est pas contesté que des changements notables sont intervenus dans la situation des parties, pouvant justifier une modification des aliments en faveur des enfants conformément à l' art. 286 al. 2 CC , applicable par renvoi de l' art. 134 al. 2 CC . Depuis le prononcé du divorce, le recourant a vu ses revenus diminuer de moitié environ pour des motifs indépendants de sa volonté (BREITSCHMID, Commentaire bâlois, n. 13 ad art. 286 CC ), alors que les ressources de l'intimée ont encore augmenté. L'autorité cantonale a jugé qu'en dépit de la diminution de ses revenus, le recourant était en mesure d'assumer le paiement mensuel de 500 fr. pour chacun de ses deux enfants, dès lors qu'il disposait d'un solde de 1'094 fr. après déduction du minimum vital (1'354 fr. 50) de son revenu (2'448 fr. 90). Elle a par ailleurs considéré que l'amélioration des ressources de l'intimée devait profiter en premier aux enfants, ce qui était le cas en l'espèce. Grâce aux efforts de la mère, laquelle assumait également les frais liés au handicap de son fils cadet, les enfants pouvaient en effet fréquenter une école privée. Un tel raisonnement fait fi de considérations importantes. Certes, l'amélioration de la situation du parent crédirentier doit en principe profiter aux enfants par des conditions de vie plus favorables, BGE 134 III 337 S. 340 notamment par l'acquisition d'une meilleure formation ( ATF 108 II 83 consid. 2c; arrêt 5C.27/2004 du 30 avril 2004, consid. 4.2 publié in FamPra.ch 2004 p. 728). Il n'en demeure pas moins que la charge d'entretien doit rester équilibrée pour chacune des personnes concernées (BREITSCHMID, op. cit., n. 13 ad art. 286 CC ) et, en particulier, ne pas devenir excessivement lourde pour le parent débirentier qui aurait une condition modeste ( ATF 108 II 83 consid. 2c). Selon l' art. 285 al. 1 CC ,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(cf. ATF 116 II 110 consid. 3a p. 112). En l'espèce, depuis le divorce, la disproportion entre les revenus des époux s'est encore accrue en ce sens que le recourant - qui gagnait environ moitié moins (8'166 fr. brut par mois) que l'intimée - a vu ses ressources diminuer considérablement (3'000 fr. brut par mois) alors que celles - déjà conséquentes (15'000 fr. brut par mois) - de son ex-épouse se sont encore améliorées (de 100'000 fr. au moins en 2005). Après le paiement des pensions litigieuses (1'000 fr.), le recourant dispose, compte tenu de son salaire (2'448 fr. 90) et déduction faite d'un minimum vital (1'354 fr. 50) - calculé au plus juste (minimum de base de 550 fr.; loyer de 419 fr.; 385 fr. 50 de prime d'assurance-maladie) -, du montant plus que modeste de 94 fr. La charge représentée par les aliments apparaît ainsi particulièrement lourde et met le recourant dans une situation précaire, le réduisant purement et simplement au minimum vital du droit des poursuites au sens de l' art. 93 LP . Ce seuil, qui vise à protéger les intérêts de créanciers tiers, ne permet normalement pas de mener une existence convenable. On ne saurait exiger du recourant, qui sera en principe appelé à verser les aliments pendant plusieurs années, qu'il se restreigne à un tel niveau de vie, alors même que l'intimée a vu ses revenus augmenter considérablement et qu'une réduction plus ample de la contribution induit manifestement pour elle une charge supplémentaire proportionnellement moindre. A cet égard, au vu des faits constatés - critiqués en vain (consid. 2.1 non publié) - et conformément aux conclusions du recourant qui est assisté d'un mandataire professionnel, une contribution de 200 fr. par enfant apparaît BGE 134 III 337 S. 341 plus équitable. Le recourant disposera en effet ainsi d'un solde résiduel décent de 694 fr. L'intimée devra supporter, quant à elle, une charge supplémentaire de 300 fr. par enfant qui n'apparaît pas disproportionnée au regard de ses revenus conséquents (au moins 230'000 fr., auxquels s'est ajouté un bonus discrétionnaire de 50'000 fr. en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